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d64a34b6c85340838dd6228d1ba0ec0f432d1e5"/>
    <w:p>
      <w:pPr>
        <w:pStyle w:val="Heading1"/>
      </w:pPr>
      <w:r>
        <w:t xml:space="preserve">Business Requirements Document (BRD) — FitNexx</w:t>
      </w:r>
    </w:p>
    <w:p>
      <w:pPr>
        <w:pStyle w:val="FirstParagraph"/>
      </w:pPr>
      <w:r>
        <w:rPr>
          <w:bCs/>
          <w:b/>
        </w:rPr>
        <w:t xml:space="preserve">Version:</w:t>
      </w:r>
      <w:r>
        <w:t xml:space="preserve"> </w:t>
      </w:r>
      <w:r>
        <w:t xml:space="preserve">2.0</w:t>
      </w:r>
      <w:r>
        <w:t xml:space="preserve"> </w:t>
      </w:r>
      <w:r>
        <w:rPr>
          <w:bCs/>
          <w:b/>
        </w:rPr>
        <w:t xml:space="preserve">Status:</w:t>
      </w:r>
      <w:r>
        <w:t xml:space="preserve"> </w:t>
      </w:r>
      <w:r>
        <w:t xml:space="preserve">Draft — written against a working prototype; no revenue, no accounts, no users yet</w:t>
      </w:r>
    </w:p>
    <w:p>
      <w:r>
        <w:pict>
          <v:rect style="width:0;height:1.5pt" o:hralign="center" o:hrstd="t" o:hr="t"/>
        </w:pic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FitNexx has a product and no business yet. The prototype demonstrates the core mechanic (adaptive training plans built on logged performance) and a full pricing structure ($0 / $19 / $59 per month) — but there is currently no way to collect a single dollar, no way for a user’s data to survive switching devices, and one of the three paid tiers has no delivery mechanism behind it. This document exists to force a decision on sequencing:</w:t>
      </w:r>
      <w:r>
        <w:t xml:space="preserve"> </w:t>
      </w:r>
      <w:r>
        <w:rPr>
          <w:bCs/>
          <w:b/>
        </w:rPr>
        <w:t xml:space="preserve">what has to be true before FitNexx can ethically and technically charge someone money</w:t>
      </w:r>
      <w:r>
        <w:t xml:space="preserve">, and in what order.</w:t>
      </w:r>
    </w:p>
    <w:p>
      <w:pPr>
        <w:pStyle w:val="BodyText"/>
      </w:pPr>
      <w:r>
        <w:t xml:space="preserve">The short version: accounts and a real backend come before billing, not after — selling a subscription to a product that can lose the customer’s data is the fastest way to generate refunds and reputational damage, not revenue.</w:t>
      </w:r>
    </w:p>
    <w:bookmarkEnd w:id="20"/>
    <w:bookmarkStart w:id="21" w:name="business-objectives"/>
    <w:p>
      <w:pPr>
        <w:pStyle w:val="Heading2"/>
      </w:pPr>
      <w:r>
        <w:t xml:space="preserve">2. Business Objectives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Illustrative target (placeholder — not validated)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it matters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Convert free (Starter) to paid (Trained)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baseline exists pre-launch; establish one in the first 90 days post-launch, then set a real 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Starter alone generates $0 — this is the entire revenue engine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Minimize logging friction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Time-to-first-set &lt; 2 min (see PRD Section 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extra tap between finishing a set and logging it is a churn risk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Prove the adaptive-plan mechanic before overselling 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Zero unresolved</w:t>
            </w:r>
            <w:r>
              <w:t xml:space="preserve"> </w:t>
            </w:r>
            <w:r>
              <w:t xml:space="preserve">“</w:t>
            </w:r>
            <w:r>
              <w:t xml:space="preserve">the plan didn’t adjust</w:t>
            </w:r>
            <w:r>
              <w:t xml:space="preserve">”</w:t>
            </w:r>
            <w:r>
              <w:t xml:space="preserve"> </w:t>
            </w:r>
            <w:r>
              <w:t xml:space="preserve">support tickets in first cohort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entire pricing premium over competitors (see MRD Section 3) rests on this being real, not aspirational copy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Resolve the Coached tier before it does damage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Either a working fulfillment path or removal from pricing within one release 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Selling a $59/month tier with no delivery mechanism is a refund and trust liability today</w:t>
            </w:r>
          </w:p>
        </w:tc>
      </w:tr>
    </w:tbl>
    <w:p>
      <w:pPr>
        <w:pStyle w:val="BodyText"/>
      </w:pPr>
      <w:r>
        <w:t xml:space="preserve">Illustrative targets above are placeholders for a planning conversation, not commitments — they should be replaced with real numbers once there’s a cohort to measure.</w:t>
      </w:r>
    </w:p>
    <w:bookmarkEnd w:id="21"/>
    <w:bookmarkStart w:id="22" w:name="stakeholders-raci"/>
    <w:p>
      <w:pPr>
        <w:pStyle w:val="Heading2"/>
      </w:pPr>
      <w:r>
        <w:t xml:space="preserve">3. Stakeholders — RACI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Function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Accounts/Backend (P2-1/P2-2)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Billing (P2-3)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Coached fulfillment (P2-4)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decisions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Marketing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(Future) Coaching 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</w:tbl>
    <w:p>
      <w:pPr>
        <w:pStyle w:val="BodyText"/>
      </w:pPr>
      <w:r>
        <w:rPr>
          <w:iCs/>
          <w:i/>
        </w:rPr>
        <w:t xml:space="preserve">R = Responsible, A = Accountable, C = Consulted, I = Informed. No formal org exists yet — this table describes functions that need an owner, not confirmed headcount.</w:t>
      </w:r>
    </w:p>
    <w:bookmarkEnd w:id="22"/>
    <w:bookmarkStart w:id="23" w:name="current-state-vs.-target-state"/>
    <w:p>
      <w:pPr>
        <w:pStyle w:val="Heading2"/>
      </w:pPr>
      <w:r>
        <w:t xml:space="preserve">4. Current State vs. Target State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 (As-Is)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Target (To-Be)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Gap owner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Hosting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Static files, deployable to GitHub 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Hosted app with backend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 — device-local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Email/OAuth accounts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Browser</w:t>
            </w:r>
            <w:r>
              <w:t xml:space="preserve"> </w:t>
            </w:r>
            <w:r>
              <w:rPr>
                <w:rStyle w:val="VerbatimChar"/>
              </w:rPr>
              <w:t xml:space="preserve">localStorage</w:t>
            </w:r>
            <w:r>
              <w:t xml:space="preserve">, single device, no backup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Synced database, multi-device, backed 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 — pricing page is display-only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 subscriptions (Stripe or equivalent), test mode validated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 + Engineering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Coached 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Priced at $59/mo, zero fulfillment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Either a real coach-review workflow or removed from pricing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Legal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Terms of service + privacy policy, linked from footer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 + (outside counsel)</w:t>
            </w:r>
          </w:p>
        </w:tc>
      </w:tr>
    </w:tbl>
    <w:p>
      <w:pPr>
        <w:pStyle w:val="BodyText"/>
      </w:pPr>
      <w:r>
        <w:t xml:space="preserve">The gap between these columns</w:t>
      </w:r>
      <w:r>
        <w:t xml:space="preserve"> </w:t>
      </w:r>
      <w:r>
        <w:rPr>
          <w:bCs/>
          <w:b/>
        </w:rPr>
        <w:t xml:space="preserve">is</w:t>
      </w:r>
      <w:r>
        <w:t xml:space="preserve"> </w:t>
      </w:r>
      <w:r>
        <w:t xml:space="preserve">the business requirement set. This is a validated concept with a build problem, not a finished product with a growth problem — every objective in Section 2 is blocked until the gaps above close.</w:t>
      </w:r>
    </w:p>
    <w:bookmarkEnd w:id="23"/>
    <w:bookmarkStart w:id="24" w:name="business-requirements"/>
    <w:p>
      <w:pPr>
        <w:pStyle w:val="Heading2"/>
      </w:pPr>
      <w:r>
        <w:t xml:space="preserve">5. Business Requirements</w:t>
      </w:r>
    </w:p>
    <w:p>
      <w:pPr>
        <w:pStyle w:val="FirstParagraph"/>
      </w:pPr>
      <w:r>
        <w:t xml:space="preserve">Priority uses MoSCoW (Must/Should/Could/Won’t for this phase).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Acceptance signal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Monetization must go live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real card can be charged, in test mode first, then production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tier must be genuinely useful, not a paywall trap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Starter holds up feature-for-feature against Strong’s free tier (unlimited logging, no time cap) — see MRD Section 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portability (CSV/JSON export)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Already promised on the pricing page under Trained; must be real before launch, not aspirational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Coached tier needs a fulfillment decision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Either a minimal coach-assignment/video-review workflow ships, or the tier is pulled from pricing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basics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ToS + privacy policy live; FAQ’s data-location answer updated to match reality once accounts ship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 process for data-loss complaints during the localStorage-only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Should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documented response (even if the honest answer is</w:t>
            </w:r>
            <w:r>
              <w:t xml:space="preserve"> </w:t>
            </w:r>
            <w:r>
              <w:t xml:space="preserve">“</w:t>
            </w:r>
            <w:r>
              <w:t xml:space="preserve">we can’t recover it</w:t>
            </w:r>
            <w:r>
              <w:t xml:space="preserve">”</w:t>
            </w:r>
            <w:r>
              <w:t xml:space="preserve">) exists before launch traffic arrives</w:t>
            </w:r>
          </w:p>
        </w:tc>
      </w:tr>
    </w:tbl>
    <w:p>
      <w:pPr>
        <w:pStyle w:val="BodyText"/>
      </w:pPr>
      <w:r>
        <w:t xml:space="preserve">Nothing below Must has been scoped yet — that’s intentional. Adding Should/Could items before the Musts are resourced is how a five-person build turns into a fifteen-person backlog no one finishes.</w:t>
      </w:r>
    </w:p>
    <w:bookmarkEnd w:id="24"/>
    <w:bookmarkStart w:id="25" w:name="assumptions"/>
    <w:p>
      <w:pPr>
        <w:pStyle w:val="Heading2"/>
      </w:pPr>
      <w:r>
        <w:t xml:space="preserve">6. Assumptions</w:t>
      </w:r>
    </w:p>
    <w:p>
      <w:pPr>
        <w:numPr>
          <w:ilvl w:val="0"/>
          <w:numId w:val="1001"/>
        </w:numPr>
        <w:pStyle w:val="Compact"/>
      </w:pPr>
      <w:r>
        <w:t xml:space="preserve">Pricing ($0/$19/$59) is a starting hypothesis, not validated against willingness-to-pay research — see MRD Section 6 for why this specifically needs revisiting</w:t>
      </w:r>
    </w:p>
    <w:p>
      <w:pPr>
        <w:numPr>
          <w:ilvl w:val="0"/>
          <w:numId w:val="1001"/>
        </w:numPr>
        <w:pStyle w:val="Compact"/>
      </w:pPr>
      <w:r>
        <w:t xml:space="preserve">The adaptive-plan mechanic is assumed technically buildable at the scope implied by the Method page’s Assess/Build/Adapt framing — this needs an engineering spike to confirm before it’s promised further in marketing copy</w:t>
      </w:r>
    </w:p>
    <w:p>
      <w:pPr>
        <w:numPr>
          <w:ilvl w:val="0"/>
          <w:numId w:val="1001"/>
        </w:numPr>
        <w:pStyle w:val="Compact"/>
      </w:pPr>
      <w:r>
        <w:t xml:space="preserve">Initial audience is individual self-coached lifters, not gyms or trainers managing multiple clients — a B2B/seat-based model is a plausible future direction, explicitly not assumed in this phase</w:t>
      </w:r>
    </w:p>
    <w:bookmarkEnd w:id="25"/>
    <w:bookmarkStart w:id="26" w:name="constraints"/>
    <w:p>
      <w:pPr>
        <w:pStyle w:val="Heading2"/>
      </w:pPr>
      <w:r>
        <w:t xml:space="preserve">7. Constraints</w:t>
      </w:r>
    </w:p>
    <w:p>
      <w:pPr>
        <w:numPr>
          <w:ilvl w:val="0"/>
          <w:numId w:val="1002"/>
        </w:numPr>
        <w:pStyle w:val="Compact"/>
      </w:pPr>
      <w:r>
        <w:t xml:space="preserve">No backend exists today; every Must-priority requirement in Section 5 depends on Engineering capacity being allocated to P2-1/P2-2 (PRD Section 8) before anything else</w:t>
      </w:r>
    </w:p>
    <w:p>
      <w:pPr>
        <w:numPr>
          <w:ilvl w:val="0"/>
          <w:numId w:val="1002"/>
        </w:numPr>
        <w:pStyle w:val="Compact"/>
      </w:pPr>
      <w:r>
        <w:t xml:space="preserve">Coached-tier economics are unknown until a fulfillment model is chosen (contracted coaches vs. in-house vs. async-only)</w:t>
      </w:r>
    </w:p>
    <w:p>
      <w:pPr>
        <w:numPr>
          <w:ilvl w:val="0"/>
          <w:numId w:val="1002"/>
        </w:numPr>
        <w:pStyle w:val="Compact"/>
      </w:pPr>
      <w:r>
        <w:t xml:space="preserve">Implied team size (based on current build scope) is small — sequencing matters more than parallelizing; see Section 9 for the recommended order</w:t>
      </w:r>
    </w:p>
    <w:bookmarkEnd w:id="26"/>
    <w:bookmarkStart w:id="27" w:name="risk-register"/>
    <w:p>
      <w:pPr>
        <w:pStyle w:val="Heading2"/>
      </w:pPr>
      <w:r>
        <w:t xml:space="preserve">8. Risk Register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Likelihood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Owner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Billing ships before accounts/backend are solid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— users pay for a product that can lose their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Hard sequencing gate: P2-1/P2-2 complete and tested before P2-3 begins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 + Product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Coached tier sold with no delivery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(already true today)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— refunds, support burden, trust damage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Pull from pricing now, or fast-track a minimal fulfillment workflow before any marketing push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Starter tier too limited relative to Strong’s free 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 — poor top-of-funnel conversion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Benchmark Starter against Strong’s exact free-tier limits before launch, not after churn data arrives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Adaptive plan</w:t>
            </w:r>
            <w:r>
              <w:t xml:space="preserve">”</w:t>
            </w:r>
            <w:r>
              <w:t xml:space="preserve"> </w:t>
            </w:r>
            <w:r>
              <w:t xml:space="preserve">marketing claim outpaces actual logic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— product/marketing mismatch is a refund and credibility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Keep Method-page and pricing-page claims scoped strictly to what P2 engineering confirms is built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Marketing + Engineering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 analytics at launch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(currently true)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 — flying blind on every objective in Section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P2-6 (event tracking) ships before or alongside P2-1, not after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</w:t>
            </w:r>
          </w:p>
        </w:tc>
      </w:tr>
    </w:tbl>
    <w:bookmarkEnd w:id="27"/>
    <w:bookmarkStart w:id="28" w:name="recommended-phased-rollout"/>
    <w:p>
      <w:pPr>
        <w:pStyle w:val="Heading2"/>
      </w:pPr>
      <w:r>
        <w:t xml:space="preserve">9. Recommended Phased Rollout</w:t>
      </w:r>
    </w:p>
    <w:p>
      <w:pPr>
        <w:pStyle w:val="FirstParagraph"/>
      </w:pPr>
      <w:r>
        <w:t xml:space="preserve">Sequencing, not a dated timeline — dates depend on resourcing not yet committed: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0 (now):</w:t>
      </w:r>
      <w:r>
        <w:t xml:space="preserve"> </w:t>
      </w:r>
      <w:r>
        <w:t xml:space="preserve">Prototype as-is. No changes to scope, used for validation/demo only.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1:</w:t>
      </w:r>
      <w:r>
        <w:t xml:space="preserve"> </w:t>
      </w:r>
      <w:r>
        <w:t xml:space="preserve">P2-2 (backend) → P2-1 (accounts) → P2-6 (analytics, in parallel with P2-1). Nothing is sold yet.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2:</w:t>
      </w:r>
      <w:r>
        <w:t xml:space="preserve"> </w:t>
      </w:r>
      <w:r>
        <w:t xml:space="preserve">P2-3 (billing) goes live only after Phase 1 is fully tested end-to-end (PRD Section 9 release criteria). BR-5 (legal) must land in this phase, not after.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3:</w:t>
      </w:r>
      <w:r>
        <w:t xml:space="preserve"> </w:t>
      </w:r>
      <w:r>
        <w:t xml:space="preserve">P2-4 (Coached fulfillment) — either built properly here, or the tier stays off pricing until it is.</w:t>
      </w:r>
    </w:p>
    <w:bookmarkEnd w:id="28"/>
    <w:bookmarkStart w:id="29" w:name="success-criteria-business-level"/>
    <w:p>
      <w:pPr>
        <w:pStyle w:val="Heading2"/>
      </w:pPr>
      <w:r>
        <w:t xml:space="preserve">10. Success Criteria (business-level)</w:t>
      </w:r>
    </w:p>
    <w:p>
      <w:pPr>
        <w:numPr>
          <w:ilvl w:val="0"/>
          <w:numId w:val="1004"/>
        </w:numPr>
        <w:pStyle w:val="Compact"/>
      </w:pPr>
      <w:r>
        <w:t xml:space="preserve">Payment processing live and reconciling correctly against Stripe’s dashboard with zero manual intervention</w:t>
      </w:r>
    </w:p>
    <w:p>
      <w:pPr>
        <w:numPr>
          <w:ilvl w:val="0"/>
          <w:numId w:val="1004"/>
        </w:numPr>
        <w:pStyle w:val="Compact"/>
      </w:pPr>
      <w:r>
        <w:t xml:space="preserve">Starter → Trained conversion rate has an established baseline (first real data point, not a pre-launch guess)</w:t>
      </w:r>
    </w:p>
    <w:p>
      <w:pPr>
        <w:numPr>
          <w:ilvl w:val="0"/>
          <w:numId w:val="1004"/>
        </w:numPr>
        <w:pStyle w:val="Compact"/>
      </w:pPr>
      <w:r>
        <w:t xml:space="preserve">Support tickets tagged</w:t>
      </w:r>
      <w:r>
        <w:t xml:space="preserve"> </w:t>
      </w:r>
      <w:r>
        <w:t xml:space="preserve">“</w:t>
      </w:r>
      <w:r>
        <w:t xml:space="preserve">data loss</w:t>
      </w:r>
      <w:r>
        <w:t xml:space="preserve">”</w:t>
      </w:r>
      <w:r>
        <w:t xml:space="preserve"> </w:t>
      </w:r>
      <w:r>
        <w:t xml:space="preserve">trend to zero once P2-1/P2-2 ship</w:t>
      </w:r>
    </w:p>
    <w:p>
      <w:pPr>
        <w:numPr>
          <w:ilvl w:val="0"/>
          <w:numId w:val="1004"/>
        </w:numPr>
        <w:pStyle w:val="Compact"/>
      </w:pPr>
      <w:r>
        <w:t xml:space="preserve">Coached tier has a working fulfillment path</w:t>
      </w:r>
      <w:r>
        <w:t xml:space="preserve"> </w:t>
      </w:r>
      <w:r>
        <w:rPr>
          <w:bCs/>
          <w:b/>
        </w:rPr>
        <w:t xml:space="preserve">or</w:t>
      </w:r>
      <w:r>
        <w:t xml:space="preserve"> </w:t>
      </w:r>
      <w:r>
        <w:t xml:space="preserve">is off the pricing page — no state in between is acceptable past one release cycle</w:t>
      </w:r>
    </w:p>
    <w:bookmarkEnd w:id="29"/>
    <w:bookmarkStart w:id="30" w:name="sign-off"/>
    <w:p>
      <w:pPr>
        <w:pStyle w:val="Heading2"/>
      </w:pPr>
      <w:r>
        <w:t xml:space="preserve">11. Sign-off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Function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Engineering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Finance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p>
      <w:pPr>
        <w:pStyle w:val="BodyText"/>
      </w:pPr>
      <w:r>
        <w:rPr>
          <w:iCs/>
          <w:i/>
        </w:rPr>
        <w:t xml:space="preserve">Placeholder table — fill in once this moves from draft to a real internal review.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2026-09-03T06:06:22Z</dcterms:created>
  <dcterms:modified xsi:type="dcterms:W3CDTF">2026-09-03T06:06:22Z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