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market-requirements-document-mrd-fitnexx"/>
    <w:p>
      <w:pPr>
        <w:pStyle w:val="Heading1"/>
      </w:pPr>
      <w:r>
        <w:t xml:space="preserve">Market Requirements Document (MRD) — FitNexx</w:t>
      </w:r>
    </w:p>
    <w:p>
      <w:pPr>
        <w:pStyle w:val="FirstParagraph"/>
      </w:pPr>
      <w:r>
        <w:rPr>
          <w:bCs/>
          <w:b/>
        </w:rPr>
        <w:t xml:space="preserve">Version:</w:t>
      </w:r>
      <w:r>
        <w:t xml:space="preserve"> </w:t>
      </w:r>
      <w:r>
        <w:t xml:space="preserve">2.0</w:t>
      </w:r>
      <w:r>
        <w:t xml:space="preserve"> </w:t>
      </w:r>
      <w:r>
        <w:rPr>
          <w:bCs/>
          <w:b/>
        </w:rPr>
        <w:t xml:space="preserve">Status:</w:t>
      </w:r>
      <w:r>
        <w:t xml:space="preserve"> </w:t>
      </w:r>
      <w:r>
        <w:t xml:space="preserve">Draft — competitive data current as of mid-2026; sizing figures are illustrative placeholders, not verified market research</w:t>
      </w:r>
    </w:p>
    <w:p>
      <w:r>
        <w:pict>
          <v:rect style="width:0;height:1.5pt" o:hralign="center" o:hrstd="t" o:hr="t"/>
        </w:pict>
      </w:r>
    </w:p>
    <w:bookmarkStart w:id="20" w:name="market-problem"/>
    <w:p>
      <w:pPr>
        <w:pStyle w:val="Heading2"/>
      </w:pPr>
      <w:r>
        <w:t xml:space="preserve">1. Market Problem</w:t>
      </w:r>
    </w:p>
    <w:p>
      <w:pPr>
        <w:pStyle w:val="FirstParagraph"/>
      </w:pPr>
      <w:r>
        <w:t xml:space="preserve">Self-coached lifters — no gym-assigned plan, no paid coach — reach for one of three tools: a fixed template that never changes, a personal spreadsheet, or a logging app that records history without acting on it. All three share the same structural gap:</w:t>
      </w:r>
      <w:r>
        <w:t xml:space="preserve"> </w:t>
      </w:r>
      <w:r>
        <w:rPr>
          <w:bCs/>
          <w:b/>
        </w:rPr>
        <w:t xml:space="preserve">the plan and the log are disconnected.</w:t>
      </w:r>
      <w:r>
        <w:t xml:space="preserve"> </w:t>
      </w:r>
      <w:r>
        <w:t xml:space="preserve">A missed rep gets recorded; it doesn’t change next week’s prescribed weight. FitNexx’s bet is that closing that loop is worth paying a premium for — a bet this document exists to pressure-test, not assume.</w:t>
      </w:r>
    </w:p>
    <w:bookmarkEnd w:id="20"/>
    <w:bookmarkStart w:id="21" w:name="target-market-segments"/>
    <w:p>
      <w:pPr>
        <w:pStyle w:val="Heading2"/>
      </w:pPr>
      <w:r>
        <w:t xml:space="preserve">2. Target Market Segments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Segment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Trigger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Signal this segment exists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Self-coached intermediate/advanced lifters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Progress stalled 4+ weeks on a fixed 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Active user bases of Strong, Hevy, Boostcamp — a large, already-app-literate audience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Beginners on named programs (5x5, Starting Strength)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Need structure more than adaptivity, initially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Served today mostly by free program-library apps (Boostcamp) — low willingness to pay until they outgrow the template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Lapsed lifters returning to 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Don’t trust old numbers, want a fast, low-pressure re-baseline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Underserved — most competitor apps assume continuous history and don’t design an explicit</w:t>
            </w:r>
            <w:r>
              <w:t xml:space="preserve"> </w:t>
            </w:r>
            <w:r>
              <w:t xml:space="preserve">“</w:t>
            </w:r>
            <w:r>
              <w:t xml:space="preserve">re-test</w:t>
            </w:r>
            <w:r>
              <w:t xml:space="preserve">”</w:t>
            </w:r>
            <w:r>
              <w:t xml:space="preserve"> </w:t>
            </w:r>
            <w:r>
              <w:t xml:space="preserve">flow</w:t>
            </w:r>
          </w:p>
        </w:tc>
      </w:tr>
    </w:tbl>
    <w:bookmarkEnd w:id="21"/>
    <w:bookmarkStart w:id="22" w:name="competitive-landscape"/>
    <w:p>
      <w:pPr>
        <w:pStyle w:val="Heading2"/>
      </w:pPr>
      <w:r>
        <w:t xml:space="preserve">3. Competitive Landscape</w:t>
      </w:r>
    </w:p>
    <w:p>
      <w:pPr>
        <w:pStyle w:val="FirstParagraph"/>
      </w:pPr>
      <w:r>
        <w:t xml:space="preserve">Pricing verified as of mid-2026 (figures vary slightly by source/region — treat as directional):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Adaptive prescription?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Export?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Hevy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~$3/mo, ~$24/yr, or ~$75 lifetime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Social/community logging + algorithmic programming (Hevy Trainer)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routines, 3-month rolling history, 7 custom exercises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Partial (separate paid AI trainer feature)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Paid tier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~$5–10/mo or ~$30–50/yr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Minimal, fast logging; strongest on Apple Watch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Unlimited logging, no time cap, 3 custom routines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Paid tier only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Fitbod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~$95/yr, highest in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Fully automated workout</w:t>
            </w:r>
            <w:r>
              <w:t xml:space="preserve"> </w:t>
            </w:r>
            <w:r>
              <w:rPr>
                <w:iCs/>
                <w:i/>
              </w:rPr>
              <w:t xml:space="preserve">generation</w:t>
            </w:r>
            <w:r>
              <w:t xml:space="preserve"> </w:t>
            </w:r>
            <w:r>
              <w:t xml:space="preserve">(not adjustment)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limited — the algorithm is the paid product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Generates new workouts, doesn’t adjust existing blocks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Unclear/limited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Boostcamp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Ready-made implementations of proven programs (5/3/1, GZCLP, PPL, Juggernaut) with built-in progression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Entire product free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Program-defined progression (not personalized to missed reps)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Unclear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FitNexx (current)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$0 / $19 / $59 per month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Logging + adaptive block prescription based on performance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active program, unlimited calculator use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Yes — the specific differentiator, unproven at scale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Promised (not yet built — see PRD/BRD)</w:t>
            </w:r>
          </w:p>
        </w:tc>
      </w:tr>
    </w:tbl>
    <w:p>
      <w:pPr>
        <w:pStyle w:val="BodyText"/>
      </w:pPr>
      <w:r>
        <w:rPr>
          <w:bCs/>
          <w:b/>
        </w:rPr>
        <w:t xml:space="preserve">Reading the matrix:</w:t>
      </w:r>
      <w:r>
        <w:t xml:space="preserve"> </w:t>
      </w:r>
      <w:r>
        <w:t xml:space="preserve">No competitor combines</w:t>
      </w:r>
      <w:r>
        <w:t xml:space="preserve"> </w:t>
      </w:r>
      <w:r>
        <w:rPr>
          <w:iCs/>
          <w:i/>
        </w:rPr>
        <w:t xml:space="preserve">logged performance</w:t>
      </w:r>
      <w:r>
        <w:t xml:space="preserve"> </w:t>
      </w:r>
      <w:r>
        <w:t xml:space="preserve">with</w:t>
      </w:r>
      <w:r>
        <w:t xml:space="preserve"> </w:t>
      </w:r>
      <w:r>
        <w:rPr>
          <w:iCs/>
          <w:i/>
        </w:rPr>
        <w:t xml:space="preserve">automatic re-scaling of the next block</w:t>
      </w:r>
      <w:r>
        <w:t xml:space="preserve">. Fitbod generates workouts; Boostcamp follows a program’s built-in progression scheme (not personalized to what the lifter actually hit). That gap is real and defensible</w:t>
      </w:r>
      <w:r>
        <w:t xml:space="preserve"> </w:t>
      </w:r>
      <w:r>
        <w:rPr>
          <w:bCs/>
          <w:b/>
        </w:rPr>
        <w:t xml:space="preserve">if</w:t>
      </w:r>
      <w:r>
        <w:t xml:space="preserve"> </w:t>
      </w:r>
      <w:r>
        <w:t xml:space="preserve">the mechanic holds up — but it also means FitNexx is the only app in this table not yet proven to deliver on its core claim in production.</w:t>
      </w:r>
    </w:p>
    <w:bookmarkEnd w:id="22"/>
    <w:bookmarkStart w:id="23" w:name="pricing-reality-check"/>
    <w:p>
      <w:pPr>
        <w:pStyle w:val="Heading2"/>
      </w:pPr>
      <w:r>
        <w:t xml:space="preserve">4. Pricing Reality Check</w:t>
      </w:r>
    </w:p>
    <w:p>
      <w:pPr>
        <w:pStyle w:val="FirstParagraph"/>
      </w:pPr>
      <w:r>
        <w:t xml:space="preserve">The category has settled at</w:t>
      </w:r>
      <w:r>
        <w:t xml:space="preserve"> </w:t>
      </w:r>
      <w:r>
        <w:rPr>
          <w:bCs/>
          <w:b/>
        </w:rPr>
        <w:t xml:space="preserve">$20–$50/year</w:t>
      </w:r>
      <w:r>
        <w:t xml:space="preserve"> </w:t>
      </w:r>
      <w:r>
        <w:t xml:space="preserve">for paid logging tiers (Strong, Hevy), climbing to</w:t>
      </w:r>
      <w:r>
        <w:t xml:space="preserve"> </w:t>
      </w:r>
      <w:r>
        <w:rPr>
          <w:bCs/>
          <w:b/>
        </w:rPr>
        <w:t xml:space="preserve">~$95/year</w:t>
      </w:r>
      <w:r>
        <w:t xml:space="preserve"> </w:t>
      </w:r>
      <w:r>
        <w:t xml:space="preserve">only for full workout</w:t>
      </w:r>
      <w:r>
        <w:t xml:space="preserve"> </w:t>
      </w:r>
      <w:r>
        <w:rPr>
          <w:iCs/>
          <w:i/>
        </w:rPr>
        <w:t xml:space="preserve">generation</w:t>
      </w:r>
      <w:r>
        <w:t xml:space="preserve"> </w:t>
      </w:r>
      <w:r>
        <w:t xml:space="preserve">(Fitbod). FitNexx’s Trained tier at</w:t>
      </w:r>
      <w:r>
        <w:t xml:space="preserve"> </w:t>
      </w:r>
      <w:r>
        <w:rPr>
          <w:bCs/>
          <w:b/>
        </w:rPr>
        <w:t xml:space="preserve">$19/month = $228/year</w:t>
      </w:r>
      <w:r>
        <w:t xml:space="preserve"> </w:t>
      </w:r>
      <w:r>
        <w:t xml:space="preserve">sits roughly</w:t>
      </w:r>
      <w:r>
        <w:t xml:space="preserve"> </w:t>
      </w:r>
      <w:r>
        <w:rPr>
          <w:bCs/>
          <w:b/>
        </w:rPr>
        <w:t xml:space="preserve">2.4x above Fitbod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4–10x above</w:t>
      </w:r>
      <w:r>
        <w:t xml:space="preserve"> </w:t>
      </w:r>
      <w:r>
        <w:t xml:space="preserve">Strong/Hevy — while Fitbod is the only comparable-priced competitor, and it sells full automation, not adjustment.</w:t>
      </w:r>
    </w:p>
    <w:p>
      <w:pPr>
        <w:pStyle w:val="BodyText"/>
      </w:pPr>
      <w:r>
        <w:t xml:space="preserve">Two honest paths forward, not a false choice between them: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Hold the price, prove the value.</w:t>
      </w:r>
      <w:r>
        <w:t xml:space="preserve"> </w:t>
      </w:r>
      <w:r>
        <w:t xml:space="preserve">Justifiable only if the adaptive mechanic is built, works reliably, and is marketed with specific before/after proof (missed-rep → adjusted-block, shown concretely) — not just claimed.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Reprice closer to category norms</w:t>
      </w:r>
      <w:r>
        <w:t xml:space="preserve"> </w:t>
      </w:r>
      <w:r>
        <w:t xml:space="preserve">($8–12/month) until the mechanic has a track record, then raise prices once retention data supports the premium.</w:t>
      </w:r>
    </w:p>
    <w:p>
      <w:pPr>
        <w:pStyle w:val="FirstParagraph"/>
      </w:pPr>
      <w:r>
        <w:t xml:space="preserve">Recommendation for the business:</w:t>
      </w:r>
      <w:r>
        <w:t xml:space="preserve"> </w:t>
      </w:r>
      <w:r>
        <w:rPr>
          <w:bCs/>
          <w:b/>
        </w:rPr>
        <w:t xml:space="preserve">do not lock in $19/month before P2-1 through P2-4 (PRD Section 8) ship.</w:t>
      </w:r>
      <w:r>
        <w:t xml:space="preserve"> </w:t>
      </w:r>
      <w:r>
        <w:t xml:space="preserve">Pricing a promise the same as a proven feature is a straightforward way to invite refund requests the moment a real user’s block doesn’t adjust the way the Method page describes.</w:t>
      </w:r>
    </w:p>
    <w:bookmarkEnd w:id="23"/>
    <w:bookmarkStart w:id="24" w:name="swot"/>
    <w:p>
      <w:pPr>
        <w:pStyle w:val="Heading2"/>
      </w:pPr>
      <w:r>
        <w:t xml:space="preserve">5. SWOT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Strengths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Clear, specific differentiator (adaptive block, not just logging)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Differentiator is unproven — currently a prototype, not shipped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Simple scope (4 lifts, 4 programs) — easier to nail than Fitbod’s 1,600+ exercise library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accounts, no backend, no billing — zero revenue capability today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Free calculator is a low-friction trial mechanism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Coached tier sold with no fulfillment — active liability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Opportunities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Threats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Returning lifter</w:t>
            </w:r>
            <w:r>
              <w:t xml:space="preserve">”</w:t>
            </w:r>
            <w:r>
              <w:t xml:space="preserve"> </w:t>
            </w:r>
            <w:r>
              <w:t xml:space="preserve">segment is visibly underserved by competitors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Hevy/Strong already have large, engaged install bases and brand trust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Content/SEO angle around the Assess/Build/Adapt framing, same space competitor-comparison content already ranks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Fitbod or a well-funded competitor could ship a similar adjustment mechanic first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Price premium is earnable</w:t>
            </w:r>
            <w:r>
              <w:t xml:space="preserve"> </w:t>
            </w:r>
            <w:r>
              <w:rPr>
                <w:iCs/>
                <w:i/>
              </w:rPr>
              <w:t xml:space="preserve">if</w:t>
            </w:r>
            <w:r>
              <w:t xml:space="preserve"> </w:t>
            </w:r>
            <w:r>
              <w:t xml:space="preserve">the mechanic proves out — most competitors monetize logging, not adjustment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2–10x above category norm before the differentiator is proven risks being dismissed on price alone</w:t>
            </w:r>
          </w:p>
        </w:tc>
      </w:tr>
    </w:tbl>
    <w:bookmarkEnd w:id="24"/>
    <w:bookmarkStart w:id="25" w:name="positioning-statement"/>
    <w:p>
      <w:pPr>
        <w:pStyle w:val="Heading2"/>
      </w:pPr>
      <w:r>
        <w:t xml:space="preserve">6. Positioning Statement</w:t>
      </w:r>
    </w:p>
    <w:p>
      <w:pPr>
        <w:pStyle w:val="FirstParagraph"/>
      </w:pPr>
      <w:r>
        <w:rPr>
          <w:iCs/>
          <w:i/>
        </w:rPr>
        <w:t xml:space="preserve">For self-coached lifters whose progress has stalled on a fixed template, FitNexx is a training tracker that automatically adjusts next block’s working weights based on what was actually logged — unlike Strong or Hevy, which log history without acting on it, and unlike Fitbod, which generates new workouts rather than adjusting an existing plan.</w:t>
      </w:r>
    </w:p>
    <w:p>
      <w:pPr>
        <w:pStyle w:val="BodyText"/>
      </w:pPr>
      <w:r>
        <w:t xml:space="preserve">This is the sentence every marketing page and pricing justification should be checked against. If a feature or claim doesn’t support it, it’s off-strategy for this phase.</w:t>
      </w:r>
    </w:p>
    <w:bookmarkEnd w:id="25"/>
    <w:bookmarkStart w:id="26" w:name="Xfea2428e8e794c54e306d75d7e770acac0c9ffb"/>
    <w:p>
      <w:pPr>
        <w:pStyle w:val="Heading2"/>
      </w:pPr>
      <w:r>
        <w:t xml:space="preserve">7. Market Sizing (illustrative only — methodology shown, figures are not)</w:t>
      </w:r>
    </w:p>
    <w:p>
      <w:pPr>
        <w:pStyle w:val="FirstParagraph"/>
      </w:pPr>
      <w:r>
        <w:t xml:space="preserve">The figures below are</w:t>
      </w:r>
      <w:r>
        <w:t xml:space="preserve"> </w:t>
      </w:r>
      <w:r>
        <w:rPr>
          <w:bCs/>
          <w:b/>
        </w:rPr>
        <w:t xml:space="preserve">placeholder assumptions for planning discussions</w:t>
      </w:r>
      <w:r>
        <w:t xml:space="preserve">, not sourced market research. Shown here is the</w:t>
      </w:r>
      <w:r>
        <w:t xml:space="preserve"> </w:t>
      </w:r>
      <w:r>
        <w:rPr>
          <w:iCs/>
          <w:i/>
        </w:rPr>
        <w:t xml:space="preserve">shape</w:t>
      </w:r>
      <w:r>
        <w:t xml:space="preserve"> </w:t>
      </w:r>
      <w:r>
        <w:t xml:space="preserve">of a real sizing exercise so it can be redone with real inputs later — treat the numbers as structurally illustrative, nothing more.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Illustrative definition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Illustrative sizing approach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Illustrative size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Global adults who strength train with some regularity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Top-down: (global adult population) × (% who report regular strength training, per public health survey data)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Tens of millions (order-of-magnitude only)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Self-coached lifters who already use, or would plausibly use, a tracking app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Narrow TAM by (% who train without a coach/gym program) × (% smartphone-app-literate for fitness)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meaningful fraction of TAM — needs real segmentation data, not assumed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Realistic 2–3 year capture for a new entrant against Strong/Hevy’s install-base head start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Bottom-up: (realistic CAC-funded acquisition rate) × (retention curve) × (time horizon), not top-down guessing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small single-digit percentage of SAM at most</w:t>
            </w:r>
          </w:p>
        </w:tc>
      </w:tr>
    </w:tbl>
    <w:p>
      <w:pPr>
        <w:pStyle w:val="BodyText"/>
      </w:pPr>
      <w:r>
        <w:rPr>
          <w:bCs/>
          <w:b/>
        </w:rPr>
        <w:t xml:space="preserve">Before this section is used in an investor or budget conversation</w:t>
      </w:r>
      <w:r>
        <w:t xml:space="preserve">, replace every cell above with real inputs: App Store category reports, a fielded survey, or a paid market-sizing source. A top-down-only estimate (TAM × arbitrary %) is not defensible on its own — the SOM row specifically needs the bottom-up cross-check shown above.</w:t>
      </w:r>
    </w:p>
    <w:bookmarkEnd w:id="26"/>
    <w:bookmarkStart w:id="27" w:name="X07116ffd4cdcdb17ce89bd9b4be481b27998f90"/>
    <w:p>
      <w:pPr>
        <w:pStyle w:val="Heading2"/>
      </w:pPr>
      <w:r>
        <w:t xml:space="preserve">8. Go-to-Market Considerations (directional, not a full GTM plan)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Channel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Content/SEO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Method page’s Assess/Build/Adapt framing and competitor pricing comparisons (like Section 3–4 above) are exactly the content genre that already ranks for this category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Paid 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Medium, later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viable until P2-3 (billing) ships and there’s a real CAC/LTV loop to fund — see BRD Section 9 phased rollout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/ social proof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Testimonial-driven trust matters in a category where Hevy already leans hard on social features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Gym/trainer partnerships (B2B)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Unassessed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Explicitly out of scope for this phase (BRD Section 6) — worth a separate MRD if traction suggests it</w:t>
            </w:r>
          </w:p>
        </w:tc>
      </w:tr>
    </w:tbl>
    <w:bookmarkEnd w:id="27"/>
    <w:bookmarkStart w:id="28" w:name="open-market-questions"/>
    <w:p>
      <w:pPr>
        <w:pStyle w:val="Heading2"/>
      </w:pPr>
      <w:r>
        <w:t xml:space="preserve">9. Open Market Questions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Suggested research method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Is the target buyer really the individual lifter, or is there a faster path through gyms/coaches buying seats for clients?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 interviews with 10–15 gym owners/coaches before any B2B pivot is considered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Does the adaptive-block mechanic hold up well enough in practice to justify a 2–10x price premium over Hevy/Strong?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Closed beta with real logging data, tracked against the PRD Section 2 metrics, before repricing decisions are made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How much of Fitbod’s ~$95/year customer base is a realistic acquisition target vs. a segment that specifically wants full automation FitNexx doesn’t offer?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Competitive win/loss interviews once there’s a live funnel to analyze</w:t>
            </w:r>
          </w:p>
        </w:tc>
      </w:tr>
    </w:tbl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2026-09-03T06:06:22Z</dcterms:created>
  <dcterms:modified xsi:type="dcterms:W3CDTF">2026-09-03T06:06:22Z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